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Cs w:val="24"/>
        </w:rPr>
      </w:pP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ПРАВИТЕЛЬСТВО МОСКВЫ</w:t>
      </w: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22 февраля 2012 г. N 65-ПП</w:t>
      </w: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МЕРАХ ПО СОВЕРШЕНСТВОВАНИЮ ОРГАНИЗАЦИИ И ПРОВЕДЕНИЯ</w:t>
      </w: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АУКЦИОНОВ НА ПРАВО ЗАКЛЮЧЕНИЯ ДОГОВОРОВ НА РАЗМЕЩЕНИЕ</w:t>
      </w: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НЕСТАЦИОНАРНЫХ ТОРГОВЫХ ОБЪЕКТОВ В ГОРОДЕ МОСКВЕ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целях совершенствования процедур организации и проведения аукционов на право заключения договоров на размещение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собственности, либо на земельных участках, государственная собственность на которые не разграничена, Правительство Москвы постановляет: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</w:t>
      </w:r>
      <w:proofErr w:type="gramStart"/>
      <w:r>
        <w:rPr>
          <w:rFonts w:cs="Times New Roman"/>
          <w:szCs w:val="24"/>
        </w:rPr>
        <w:t xml:space="preserve">Внести изменения в </w:t>
      </w:r>
      <w:hyperlink r:id="rId5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3 февраля 2011 г. N 26-ПП "О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собственности" (в редакции постановлений Правительства Москвы от 31 мая 2011 г. N 242-ПП, от 16 июня 2011 г. N 269-ПП, от 5 июля 2011 г. N 300-ПП</w:t>
      </w:r>
      <w:proofErr w:type="gramEnd"/>
      <w:r>
        <w:rPr>
          <w:rFonts w:cs="Times New Roman"/>
          <w:szCs w:val="24"/>
        </w:rPr>
        <w:t>, от 28 сентября 2011 г. N 457-ПП, от 16 февраля 2012 г. N 57-ПП):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1.1. </w:t>
      </w:r>
      <w:hyperlink r:id="rId6" w:history="1">
        <w:r>
          <w:rPr>
            <w:rFonts w:cs="Times New Roman"/>
            <w:color w:val="0000FF"/>
            <w:szCs w:val="24"/>
          </w:rPr>
          <w:t>Пункт 1.3</w:t>
        </w:r>
      </w:hyperlink>
      <w:r>
        <w:rPr>
          <w:rFonts w:cs="Times New Roman"/>
          <w:szCs w:val="24"/>
        </w:rPr>
        <w:t xml:space="preserve"> постановления признать утратившим силу.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1.2. В </w:t>
      </w:r>
      <w:hyperlink r:id="rId7" w:history="1">
        <w:r>
          <w:rPr>
            <w:rFonts w:cs="Times New Roman"/>
            <w:color w:val="0000FF"/>
            <w:szCs w:val="24"/>
          </w:rPr>
          <w:t>подпункте 1 пункта 3</w:t>
        </w:r>
      </w:hyperlink>
      <w:r>
        <w:rPr>
          <w:rFonts w:cs="Times New Roman"/>
          <w:szCs w:val="24"/>
        </w:rPr>
        <w:t xml:space="preserve"> приложения 1 к постановлению слова "в соответствии с настоящим постановлением" заменить словами ", рекомендуемая форма которого разрабатывается и утверждается распоряжением Департамента торговли и услуг города Москвы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1.3. </w:t>
      </w:r>
      <w:hyperlink r:id="rId8" w:history="1">
        <w:r>
          <w:rPr>
            <w:rFonts w:cs="Times New Roman"/>
            <w:color w:val="0000FF"/>
            <w:szCs w:val="24"/>
          </w:rPr>
          <w:t>Пункт 3</w:t>
        </w:r>
      </w:hyperlink>
      <w:r>
        <w:rPr>
          <w:rFonts w:cs="Times New Roman"/>
          <w:szCs w:val="24"/>
        </w:rPr>
        <w:t xml:space="preserve"> приложения 1 к постановлению дополнить абзацем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"Передача или уступка прав по договору на размещение нестационарного торгового объекта третьим лицам либо осуществление третьим лицом торговой деятельности с использованием нестационарного торгового объекта не допускаются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1.4. </w:t>
      </w:r>
      <w:hyperlink r:id="rId9" w:history="1">
        <w:r>
          <w:rPr>
            <w:rFonts w:cs="Times New Roman"/>
            <w:color w:val="0000FF"/>
            <w:szCs w:val="24"/>
          </w:rPr>
          <w:t>Подпункт 3 пункта 4</w:t>
        </w:r>
      </w:hyperlink>
      <w:r>
        <w:rPr>
          <w:rFonts w:cs="Times New Roman"/>
          <w:szCs w:val="24"/>
        </w:rPr>
        <w:t xml:space="preserve"> приложения 1 к постановлению изложить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"3) торговый автомат - временное техническое сооружение или конструкция, предназначенные для продажи товаров (выполнения работ, оказания услуг) без участия продавца;".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1.5. </w:t>
      </w:r>
      <w:hyperlink r:id="rId10" w:history="1">
        <w:r>
          <w:rPr>
            <w:rFonts w:cs="Times New Roman"/>
            <w:color w:val="0000FF"/>
            <w:szCs w:val="24"/>
          </w:rPr>
          <w:t>Подпункт 7 пункта 4</w:t>
        </w:r>
      </w:hyperlink>
      <w:r>
        <w:rPr>
          <w:rFonts w:cs="Times New Roman"/>
          <w:szCs w:val="24"/>
        </w:rPr>
        <w:t xml:space="preserve"> приложения 1 к постановлению после слов "передвижные сооружения" дополнить словами "(передвижные торговые объекты)".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1.6. </w:t>
      </w:r>
      <w:hyperlink r:id="rId11" w:history="1">
        <w:r>
          <w:rPr>
            <w:rFonts w:cs="Times New Roman"/>
            <w:color w:val="0000FF"/>
            <w:szCs w:val="24"/>
          </w:rPr>
          <w:t>Пункт 2</w:t>
        </w:r>
      </w:hyperlink>
      <w:r>
        <w:rPr>
          <w:rFonts w:cs="Times New Roman"/>
          <w:szCs w:val="24"/>
        </w:rPr>
        <w:t xml:space="preserve"> приложения 2 к постановлению изложить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"2. Отбор хозяйствующих субъектов осуществляется путем проведения открытого аукциона или открытого аукциона в электронной форме, предметом которых является право на заключение договора на размещение нестационарного торгового объекта в местах, определенных схемой размещения нестационарных торговых объектов.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Открытый аукцион в электронной форме проводится с соблюдением требований, установленных разделом IV настоящего Порядка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1.7. </w:t>
      </w:r>
      <w:hyperlink r:id="rId12" w:history="1">
        <w:r>
          <w:rPr>
            <w:rFonts w:cs="Times New Roman"/>
            <w:color w:val="0000FF"/>
            <w:szCs w:val="24"/>
          </w:rPr>
          <w:t>Пункт 6</w:t>
        </w:r>
      </w:hyperlink>
      <w:r>
        <w:rPr>
          <w:rFonts w:cs="Times New Roman"/>
          <w:szCs w:val="24"/>
        </w:rPr>
        <w:t xml:space="preserve"> приложения 2 к постановлению дополнить абзацем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"Минимальный и (или) максимальный размер задатка устанавливается распоряжением Департамента торговли и услуг города Москвы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1.8. В </w:t>
      </w:r>
      <w:hyperlink r:id="rId13" w:history="1">
        <w:r>
          <w:rPr>
            <w:rFonts w:cs="Times New Roman"/>
            <w:color w:val="0000FF"/>
            <w:szCs w:val="24"/>
          </w:rPr>
          <w:t>подпункте 4 пункта 11</w:t>
        </w:r>
      </w:hyperlink>
      <w:r>
        <w:rPr>
          <w:rFonts w:cs="Times New Roman"/>
          <w:szCs w:val="24"/>
        </w:rPr>
        <w:t xml:space="preserve"> приложения 2 к постановлению слова ", который должен предусматривать внесение ее равномерными частями и временными интервалами </w:t>
      </w:r>
      <w:r>
        <w:rPr>
          <w:rFonts w:cs="Times New Roman"/>
          <w:szCs w:val="24"/>
        </w:rPr>
        <w:lastRenderedPageBreak/>
        <w:t>в течение всего срока размещения нестационарного торгового объекта" исключить.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1.9. В </w:t>
      </w:r>
      <w:hyperlink r:id="rId14" w:history="1">
        <w:r>
          <w:rPr>
            <w:rFonts w:cs="Times New Roman"/>
            <w:color w:val="0000FF"/>
            <w:szCs w:val="24"/>
          </w:rPr>
          <w:t>подпункте 2 пункта 12</w:t>
        </w:r>
      </w:hyperlink>
      <w:r>
        <w:rPr>
          <w:rFonts w:cs="Times New Roman"/>
          <w:szCs w:val="24"/>
        </w:rPr>
        <w:t xml:space="preserve"> и </w:t>
      </w:r>
      <w:hyperlink r:id="rId15" w:history="1">
        <w:r>
          <w:rPr>
            <w:rFonts w:cs="Times New Roman"/>
            <w:color w:val="0000FF"/>
            <w:szCs w:val="24"/>
          </w:rPr>
          <w:t>пункте 31</w:t>
        </w:r>
      </w:hyperlink>
      <w:r>
        <w:rPr>
          <w:rFonts w:cs="Times New Roman"/>
          <w:szCs w:val="24"/>
        </w:rPr>
        <w:t xml:space="preserve"> приложения 2 к постановлению слова "типовое </w:t>
      </w:r>
      <w:proofErr w:type="gramStart"/>
      <w:r>
        <w:rPr>
          <w:rFonts w:cs="Times New Roman"/>
          <w:szCs w:val="24"/>
        </w:rPr>
        <w:t>архитектурное решение</w:t>
      </w:r>
      <w:proofErr w:type="gramEnd"/>
      <w:r>
        <w:rPr>
          <w:rFonts w:cs="Times New Roman"/>
          <w:szCs w:val="24"/>
        </w:rPr>
        <w:t xml:space="preserve"> нестационарного торгового объекта" заменить словами "типовое архитектурное решение нестационарного торгового объекта, типовые требования (для передвижных торговых объектов)" в соответствующих падежах и числах.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1.10. В </w:t>
      </w:r>
      <w:hyperlink r:id="rId16" w:history="1">
        <w:r>
          <w:rPr>
            <w:rFonts w:cs="Times New Roman"/>
            <w:color w:val="0000FF"/>
            <w:szCs w:val="24"/>
          </w:rPr>
          <w:t>пункте 18</w:t>
        </w:r>
      </w:hyperlink>
      <w:r>
        <w:rPr>
          <w:rFonts w:cs="Times New Roman"/>
          <w:szCs w:val="24"/>
        </w:rPr>
        <w:t xml:space="preserve"> приложения 2 к постановлению слова "за один день" заменить словами "за пять календарных дней".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1.11. </w:t>
      </w:r>
      <w:hyperlink r:id="rId17" w:history="1">
        <w:r>
          <w:rPr>
            <w:rFonts w:cs="Times New Roman"/>
            <w:color w:val="0000FF"/>
            <w:szCs w:val="24"/>
          </w:rPr>
          <w:t>Пункт 28</w:t>
        </w:r>
      </w:hyperlink>
      <w:r>
        <w:rPr>
          <w:rFonts w:cs="Times New Roman"/>
          <w:szCs w:val="24"/>
        </w:rPr>
        <w:t xml:space="preserve"> приложения 2 к постановлению изложить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"28. Результаты аукциона оформляются протоколом, который в день проведения аукциона подписывается организатором аукциона, победителем аукциона и участником аукциона, сделавшим предпоследнее предложение о цене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Протокол о результатах аукциона составляется в трех экземплярах: по одному для организатора аукциона, победителя аукциона и участника аукциона, сделавшего предпоследнее предложение о цене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Протокол о результатах аукциона подлежит хранению организатором аукциона не менее трех лет.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В протоколе указываются сведения о месте, дате и времени проведения аукциона, начальной цене предмета аукциона, предложениях о цене аукциона победителя аукциона и участника аукциона, сделавшего предпоследнее предложение о цене аукциона, наименовании и месте нахождения (для юридического лица), фамилии, имени, отчестве (для физического лица) победителя аукциона и участника аукциона, сделавшего предпоследнее предложение о цене аукциона.".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1.12. </w:t>
      </w:r>
      <w:hyperlink r:id="rId18" w:history="1">
        <w:r>
          <w:rPr>
            <w:rFonts w:cs="Times New Roman"/>
            <w:color w:val="0000FF"/>
            <w:szCs w:val="24"/>
          </w:rPr>
          <w:t>Пункт 30</w:t>
        </w:r>
      </w:hyperlink>
      <w:r>
        <w:rPr>
          <w:rFonts w:cs="Times New Roman"/>
          <w:szCs w:val="24"/>
        </w:rPr>
        <w:t xml:space="preserve"> приложения 2 к постановлению изложить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"30. Организатор аукциона в течение пяти рабочих дней со дня подписания протокола о результатах аукциона обязан возвратить внесенные в качестве задатков денежные средства участникам аукциона, за исключением победителя аукциона и участника аукциона, сделавшего предпоследнее предложение о цене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Организатор аукциона в течение трех рабочих дней со дня подписания договора на размещение нестационарного торгового объекта с победителем аукциона обязан возвратить внесенные в качестве задатка денежные средства участнику аукциона, сделавшему предпоследнее предложение о цене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 заключении договора на размещение нестационарного торгового объекта с победителем аукциона или участником аукциона, сделавшим предпоследнее предложение о цене аукциона, сумма внесенного ими задатка засчитывается (перечисляется) организатором аукциона в счет исполнения обязательств по заключенному договору и не возвращается участнику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том случае, если сумма задатка превышает цену договора на размещение нестационарного торгового объекта, организатор аукциона обязан возвратить участнику аукциона денежные средства в части, превышающей цену договора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1.13. </w:t>
      </w:r>
      <w:hyperlink r:id="rId19" w:history="1">
        <w:r>
          <w:rPr>
            <w:rFonts w:cs="Times New Roman"/>
            <w:color w:val="0000FF"/>
            <w:szCs w:val="24"/>
          </w:rPr>
          <w:t>Приложение 2</w:t>
        </w:r>
      </w:hyperlink>
      <w:r>
        <w:rPr>
          <w:rFonts w:cs="Times New Roman"/>
          <w:szCs w:val="24"/>
        </w:rPr>
        <w:t xml:space="preserve"> к постановлению дополнить пунктами 31.1-31.9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"31.1. </w:t>
      </w:r>
      <w:proofErr w:type="gramStart"/>
      <w:r>
        <w:rPr>
          <w:rFonts w:cs="Times New Roman"/>
          <w:szCs w:val="24"/>
        </w:rPr>
        <w:t>Договор на размещение нестационарного торгового объекта, за исключением случаев, предусмотренных пунктами 31.2, 31.3 настоящего Порядка, заключается только после передачи участником аукциона, с которым заключается договор, организатору аукциона денежных средств в размере, составляющем 1/6 от итоговой цены аукциона на право размещения нестационарного торгового объекта (либо цены итогового предложения участника аукциона, сделавшего предпоследнее предложение о цене аукциона).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том случае, если задаток составляет менее 1/6 от итоговой цены аукциона, участник аукциона, с которым заключается договор, производит оплату указанной суммы путем перечисления сре</w:t>
      </w:r>
      <w:proofErr w:type="gramStart"/>
      <w:r>
        <w:rPr>
          <w:rFonts w:cs="Times New Roman"/>
          <w:szCs w:val="24"/>
        </w:rPr>
        <w:t>дств в р</w:t>
      </w:r>
      <w:proofErr w:type="gramEnd"/>
      <w:r>
        <w:rPr>
          <w:rFonts w:cs="Times New Roman"/>
          <w:szCs w:val="24"/>
        </w:rPr>
        <w:t>азмере разницы между задатком и 1/6 от итоговой цены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 том случае, если задаток составляет более 1/6 от итоговой цены аукциона, </w:t>
      </w:r>
      <w:r>
        <w:rPr>
          <w:rFonts w:cs="Times New Roman"/>
          <w:szCs w:val="24"/>
        </w:rPr>
        <w:lastRenderedPageBreak/>
        <w:t>организатор аукциона перечисляет средства в размере разницы между задатком и 1/6 от итоговой цены аукциона в счет очередных платежей по договору на размещение нестационарного торгового объекта.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31.2. Договор на размещение елочных базаров и бахчевых развалов заключается только после передачи участником аукциона, с которым заключается договор, организатору аукциона денежных сре</w:t>
      </w:r>
      <w:proofErr w:type="gramStart"/>
      <w:r>
        <w:rPr>
          <w:rFonts w:cs="Times New Roman"/>
          <w:szCs w:val="24"/>
        </w:rPr>
        <w:t>дств в р</w:t>
      </w:r>
      <w:proofErr w:type="gramEnd"/>
      <w:r>
        <w:rPr>
          <w:rFonts w:cs="Times New Roman"/>
          <w:szCs w:val="24"/>
        </w:rPr>
        <w:t>азмере стоимости одного периода размещения по результатам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31.3. Договор на размещение передвижных торговых объектов со сроком действия до одного года заключается только после передачи участником аукциона, с которым заключается договор, организатору аукциона денежных сре</w:t>
      </w:r>
      <w:proofErr w:type="gramStart"/>
      <w:r>
        <w:rPr>
          <w:rFonts w:cs="Times New Roman"/>
          <w:szCs w:val="24"/>
        </w:rPr>
        <w:t>дств в р</w:t>
      </w:r>
      <w:proofErr w:type="gramEnd"/>
      <w:r>
        <w:rPr>
          <w:rFonts w:cs="Times New Roman"/>
          <w:szCs w:val="24"/>
        </w:rPr>
        <w:t>азмере, составляющем 1/2 от итоговой цены аукциона (либо цены итогового предложения участника аукциона, сделавшего предпоследнее предложение о цене аукциона).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31.4. Участник аукциона, с которым заключается договор на размещение нестационарного торгового объекта, вносит денежные средства на лицевой счет в органах казначейства организатора аукциона в любое время после подписания протокола о результатах аукциона и до подачи заявления о выдаче договора.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31.5. Факт передачи денежных средств подтверждается платежным поручением с отметкой банка об оплате (квитанцией в случае наличной формы оплаты).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31.6. </w:t>
      </w:r>
      <w:proofErr w:type="gramStart"/>
      <w:r>
        <w:rPr>
          <w:rFonts w:cs="Times New Roman"/>
          <w:szCs w:val="24"/>
        </w:rPr>
        <w:t>В случае если победитель аукциона и (или) участник аукциона, сделавший предпоследнее предложение о цене аукциона, отказались от подписания протокола о результатах аукциона, и (или) не обратились к организатору аукциона с заявлением о заключении договора на размещение нестационарного торгового объекта в установленный срок, и (или) не передали организатору аукциона денежные средства в размере, установленном пунктами 31.1-31.3 настоящего Порядка, победитель аукциона</w:t>
      </w:r>
      <w:proofErr w:type="gramEnd"/>
      <w:r>
        <w:rPr>
          <w:rFonts w:cs="Times New Roman"/>
          <w:szCs w:val="24"/>
        </w:rPr>
        <w:t xml:space="preserve"> и (или) иной участник аукциона, сделавший предложение о цене аукциона, признаются уклонившимися от заключения договора, и денежные средства, внесенные ими в качестве задатка, не возвращаются.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31.7. В случае уклонения победителя аукциона от заключения договора организатор аукциона заключает договор на размещение нестационарного торгового объекта с участником аукциона, который сделал предпоследнее предложение о цене аукциона. При этом заключение договора для участника аукциона, который сделал предпоследнее предложение о цене аукциона, является обязательным.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31.8. </w:t>
      </w:r>
      <w:proofErr w:type="gramStart"/>
      <w:r>
        <w:rPr>
          <w:rFonts w:cs="Times New Roman"/>
          <w:szCs w:val="24"/>
        </w:rPr>
        <w:t>В случае уклонения победителя аукциона от заключения договора организатор аукциона уведомляет участника аукциона, сделавшего предпоследнее предложение о цене аукциона, по телефону, электронной почте, а также телеграммой с уведомлением о вручении по адресу, указанному в заявке на участие в аукционе, о необходимости обращения к организатору аукциона с заявлением о подготовке и выдаче договора на размещение нестационарного торгового объекта с обязательным выполнением</w:t>
      </w:r>
      <w:proofErr w:type="gramEnd"/>
      <w:r>
        <w:rPr>
          <w:rFonts w:cs="Times New Roman"/>
          <w:szCs w:val="24"/>
        </w:rPr>
        <w:t xml:space="preserve"> требований пунктов 31.1-31.3 настоящего Порядка.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Также указанная в настоящем пункте информация размещается на официальном сайте организатора аукциона в информационно-телекоммуникационной сети Интернет.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31.9. Организатор направляет телеграмму с уведомлением о вручении не позднее следующего рабочего дня, когда организатору аукциона стало известно об уклонении победителя аукциона от заключения договора. В этот же срок организатор аукциона размещает указанную в пункте 31.8 настоящего Порядка информацию на официальном сайте организатора аукциона в информационно-телекоммуникационной сети Интернет.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течение пяти дней с даты уведомления участник аукциона обязан обратиться к организатору аукциона с заявлением, указанным в пункте 31.8 настоящего Порядка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1.14. </w:t>
      </w:r>
      <w:hyperlink r:id="rId20" w:history="1">
        <w:r>
          <w:rPr>
            <w:rFonts w:cs="Times New Roman"/>
            <w:color w:val="0000FF"/>
            <w:szCs w:val="24"/>
          </w:rPr>
          <w:t>Пункт 32</w:t>
        </w:r>
      </w:hyperlink>
      <w:r>
        <w:rPr>
          <w:rFonts w:cs="Times New Roman"/>
          <w:szCs w:val="24"/>
        </w:rPr>
        <w:t xml:space="preserve"> приложения 2 к постановлению изложить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"32. Аукцион признается несостоявшимся в случае, если: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1) в аукционе участвовали менее двух участников;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2) на участие в аукционе не подана ни одна заявка, либо если на основании </w:t>
      </w:r>
      <w:r>
        <w:rPr>
          <w:rFonts w:cs="Times New Roman"/>
          <w:szCs w:val="24"/>
        </w:rPr>
        <w:lastRenderedPageBreak/>
        <w:t>результатов рассмотрения заявок на участие в аукционе принято решение об отказе в допуске к участию в аукционе (об отказе в приеме заявки на участие в электронном аукционе) всех участников, подавших заявки на участие в аукционе, либо на основании результатов рассмотрения заявок на участие в аукционе принято</w:t>
      </w:r>
      <w:proofErr w:type="gramEnd"/>
      <w:r>
        <w:rPr>
          <w:rFonts w:cs="Times New Roman"/>
          <w:szCs w:val="24"/>
        </w:rPr>
        <w:t xml:space="preserve"> решение о допуске одного участника.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цене, победителем признается лицо, чья заявка на участие в аукционе поступила первой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1.15. </w:t>
      </w:r>
      <w:hyperlink r:id="rId21" w:history="1">
        <w:r>
          <w:rPr>
            <w:rFonts w:cs="Times New Roman"/>
            <w:color w:val="0000FF"/>
            <w:szCs w:val="24"/>
          </w:rPr>
          <w:t>Пункт 34</w:t>
        </w:r>
      </w:hyperlink>
      <w:r>
        <w:rPr>
          <w:rFonts w:cs="Times New Roman"/>
          <w:szCs w:val="24"/>
        </w:rPr>
        <w:t xml:space="preserve"> приложения 2 к постановлению изложить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"34. </w:t>
      </w:r>
      <w:proofErr w:type="gramStart"/>
      <w:r>
        <w:rPr>
          <w:rFonts w:cs="Times New Roman"/>
          <w:szCs w:val="24"/>
        </w:rPr>
        <w:t>Организатор аукциона в случаях, если аукцион был признан несостоявшимся и по его результатам не заключен договор на размещение нестационарного торгового объекта, либо если победитель аукциона и участник аукциона, сделавший предпоследнее предложение о цене аукциона, признаны уклонившимися от заключения договора на размещение нестационарного торгового объекта, либо если досрочно расторгнут договор на размещение нестационарного торгового объекта, обязан объявить о проведении повторного аукциона</w:t>
      </w:r>
      <w:proofErr w:type="gramEnd"/>
      <w:r>
        <w:rPr>
          <w:rFonts w:cs="Times New Roman"/>
          <w:szCs w:val="24"/>
        </w:rPr>
        <w:t xml:space="preserve"> либо в установленном порядке исключить объект из схемы размещения нестационарных торговых объектов или внести в нее изменения</w:t>
      </w:r>
      <w:proofErr w:type="gramStart"/>
      <w:r>
        <w:rPr>
          <w:rFonts w:cs="Times New Roman"/>
          <w:szCs w:val="24"/>
        </w:rPr>
        <w:t>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1.16. В </w:t>
      </w:r>
      <w:hyperlink r:id="rId22" w:history="1">
        <w:r>
          <w:rPr>
            <w:rFonts w:cs="Times New Roman"/>
            <w:color w:val="0000FF"/>
            <w:szCs w:val="24"/>
          </w:rPr>
          <w:t>пункте 38</w:t>
        </w:r>
      </w:hyperlink>
      <w:r>
        <w:rPr>
          <w:rFonts w:cs="Times New Roman"/>
          <w:szCs w:val="24"/>
        </w:rPr>
        <w:t xml:space="preserve"> приложения 2 к постановлению слова "настоящим постановлением" заменить словами "распоряжением Департамента торговли и услуг города Москвы".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1.17. Дополнить </w:t>
      </w:r>
      <w:hyperlink r:id="rId23" w:history="1">
        <w:r>
          <w:rPr>
            <w:rFonts w:cs="Times New Roman"/>
            <w:color w:val="0000FF"/>
            <w:szCs w:val="24"/>
          </w:rPr>
          <w:t>приложение 2</w:t>
        </w:r>
      </w:hyperlink>
      <w:r>
        <w:rPr>
          <w:rFonts w:cs="Times New Roman"/>
          <w:szCs w:val="24"/>
        </w:rPr>
        <w:t xml:space="preserve"> к постановлению разделом IV в следующей редакции:</w:t>
      </w: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"IV. Организация и порядок проведения аукциона в </w:t>
      </w:r>
      <w:proofErr w:type="gramStart"/>
      <w:r>
        <w:rPr>
          <w:rFonts w:cs="Times New Roman"/>
          <w:szCs w:val="24"/>
        </w:rPr>
        <w:t>электронной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форме на право заключения договора на размещение</w:t>
      </w:r>
    </w:p>
    <w:p w:rsidR="00CD553D" w:rsidRDefault="00CD553D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нестационарного торгового объекта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45. </w:t>
      </w:r>
      <w:proofErr w:type="gramStart"/>
      <w:r>
        <w:rPr>
          <w:rFonts w:cs="Times New Roman"/>
          <w:szCs w:val="24"/>
        </w:rPr>
        <w:t>Под аукционом в электронной форме понимается аукцион, победителем которого признается лицо, предложившее наиболее высокую цену за право заключения договора на размещение нестационарного торгового объекта, и проведение которого обеспечивается оператором электронной площадки на сайте в информационно-телекоммуникационной сети Интернет, выбранным организатором аукциона из числа операторов электронных площадок, отобранных в утвержденном Правительством Российской Федерации порядке (далее - электронный аукцион).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46. Организатор аукциона разрабатывает и утверждает аукционную документацию, определяет начальную цену предмета электронного аукциона, сумму задатка за участие в электронном аукционе, сроки подачи заявок на участие в электронном аукционе, порядок внесения и возврата задатка, величину повышения начальной цены предмета электронного аукциона ("шаг электронного аукциона").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47. Начальная цена предмета электронного аукциона определяется организатором аукциона в соответствии с методикой, утвержденной Правительством Москвы.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Минимальный и (или) максимальный размер задатка устанавливается распоряжением Департамента торговли и услуг города Москвы.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48. Организатор аукциона не менее чем за тридцать календарных дней до дня проведения электронного аукциона должен </w:t>
      </w:r>
      <w:proofErr w:type="gramStart"/>
      <w:r>
        <w:rPr>
          <w:rFonts w:cs="Times New Roman"/>
          <w:szCs w:val="24"/>
        </w:rPr>
        <w:t>разместить извещение</w:t>
      </w:r>
      <w:proofErr w:type="gramEnd"/>
      <w:r>
        <w:rPr>
          <w:rFonts w:cs="Times New Roman"/>
          <w:szCs w:val="24"/>
        </w:rPr>
        <w:t xml:space="preserve"> о проведении электронного аукциона и аукционную документацию, включая проект договора на размещение нестационарного торгового объекта, на официальном сайте Тендерного комитета, организатора аукциона и электронной площадке.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49. Извещение о проведении электронного аукциона должно содержать сведения: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1) об организаторе аукциона, принявшем решение о проведении электронного аукциона, реквизитах указанного решения;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2) об адресе электронной площадки в информационно-телекоммуникационной сети Интернет;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3) о предмете электронного аукциона, в том числе: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gramStart"/>
      <w:r>
        <w:rPr>
          <w:rFonts w:cs="Times New Roman"/>
          <w:szCs w:val="24"/>
        </w:rPr>
        <w:t>местоположении</w:t>
      </w:r>
      <w:proofErr w:type="gramEnd"/>
      <w:r>
        <w:rPr>
          <w:rFonts w:cs="Times New Roman"/>
          <w:szCs w:val="24"/>
        </w:rPr>
        <w:t xml:space="preserve"> и размере площади места размещения нестационарного торгового объекта;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gramStart"/>
      <w:r>
        <w:rPr>
          <w:rFonts w:cs="Times New Roman"/>
          <w:szCs w:val="24"/>
        </w:rPr>
        <w:t>виде</w:t>
      </w:r>
      <w:proofErr w:type="gramEnd"/>
      <w:r>
        <w:rPr>
          <w:rFonts w:cs="Times New Roman"/>
          <w:szCs w:val="24"/>
        </w:rPr>
        <w:t xml:space="preserve"> нестационарного торгового объекта;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специализации;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proofErr w:type="gramStart"/>
      <w:r>
        <w:rPr>
          <w:rFonts w:cs="Times New Roman"/>
          <w:szCs w:val="24"/>
        </w:rPr>
        <w:t>периоде</w:t>
      </w:r>
      <w:proofErr w:type="gramEnd"/>
      <w:r>
        <w:rPr>
          <w:rFonts w:cs="Times New Roman"/>
          <w:szCs w:val="24"/>
        </w:rPr>
        <w:t xml:space="preserve"> размещения;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о том, проводится ли аукцион среди субъектов малого или среднего предпринимательства, осуществляющих торговую деятельность;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4) о начальной цене предмета электронного аукциона, а также сроке и порядке внесения итоговой цены предмета аукциона;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5) о "шаге электронного аукциона";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6) о дате и времени окончания срока подачи заявок на участие в электронном аукционе; дате окончания срока рассмотрения заявок на участие в аукционе; дате проведения электронного аукциона. В случае если дата проведения аукциона приходится на нерабочий день, день проведения аукциона устанавливается на ближайший следующий за ним рабочий день;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7) о размере задатка, порядке его внесения участниками электронного аукциона и возврата им, реквизитах счета для перечисления задатка;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8) о возможности подключения нестационарного торгового объекта к сетям инженерно-технического обеспечения;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9) о требованиях к содержанию и уборке территории.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50. Аукционная документация должна содержать следующие сведения: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1) сведения, предусмотренные пунктом 49 настоящего Порядка;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2) типовые </w:t>
      </w:r>
      <w:proofErr w:type="gramStart"/>
      <w:r>
        <w:rPr>
          <w:rFonts w:cs="Times New Roman"/>
          <w:szCs w:val="24"/>
        </w:rPr>
        <w:t>архитектурные решения</w:t>
      </w:r>
      <w:proofErr w:type="gramEnd"/>
      <w:r>
        <w:rPr>
          <w:rFonts w:cs="Times New Roman"/>
          <w:szCs w:val="24"/>
        </w:rPr>
        <w:t xml:space="preserve"> нестационарных торговых объектов, типовые требования (для передвижных торговых объектов);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3) требования к содержанию, составу заявки на участие в электронном аукционе, инструкцию по ее заполнению;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4) порядок и срок отзыва заявок на участие в электронном аукционе;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5) срок, в течение которого победитель аукциона обязан подписать договор на размещение нестационарного торгового объекта.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51. Организатор аукциона вправе отказаться от проведения аукциона не </w:t>
      </w:r>
      <w:proofErr w:type="gramStart"/>
      <w:r>
        <w:rPr>
          <w:rFonts w:cs="Times New Roman"/>
          <w:szCs w:val="24"/>
        </w:rPr>
        <w:t>позднее</w:t>
      </w:r>
      <w:proofErr w:type="gramEnd"/>
      <w:r>
        <w:rPr>
          <w:rFonts w:cs="Times New Roman"/>
          <w:szCs w:val="24"/>
        </w:rPr>
        <w:t xml:space="preserve"> чем за три календарных дня до дня проведения электронного аукциона. Извещение об отказе в проведен</w:t>
      </w:r>
      <w:proofErr w:type="gramStart"/>
      <w:r>
        <w:rPr>
          <w:rFonts w:cs="Times New Roman"/>
          <w:szCs w:val="24"/>
        </w:rPr>
        <w:t>ии ау</w:t>
      </w:r>
      <w:proofErr w:type="gramEnd"/>
      <w:r>
        <w:rPr>
          <w:rFonts w:cs="Times New Roman"/>
          <w:szCs w:val="24"/>
        </w:rPr>
        <w:t>кциона размещается на официальных сайтах Тендерного комитета, организатора аукциона и электронной площадке.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Оператор электронной площадки в течение одного рабочего дня со дня размещения извещения об отказе в проведен</w:t>
      </w:r>
      <w:proofErr w:type="gramStart"/>
      <w:r>
        <w:rPr>
          <w:rFonts w:cs="Times New Roman"/>
          <w:szCs w:val="24"/>
        </w:rPr>
        <w:t>ии ау</w:t>
      </w:r>
      <w:proofErr w:type="gramEnd"/>
      <w:r>
        <w:rPr>
          <w:rFonts w:cs="Times New Roman"/>
          <w:szCs w:val="24"/>
        </w:rPr>
        <w:t>кциона обязан известить участников электронного аукциона об отказе в проведении аукциона и в течение трех рабочих дней возвратить участникам аукциона внесенные задатки.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52. Для обеспечения доступа к участию в электронном аукционе оператор электронной площадки проводит регистрацию на электронной площадке.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53. Для участия в электронном аукционе заявитель, зарегистрированный на электронной площадке в установленном порядке, подает заявку на участие в аукционе. Один заявитель вправе подать только одну заявку на участие в электронном аукционе.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Участие в электронном аукционе возможно при наличии на счете заявителя, предназначенном для проведения операций по обеспечению участия в аукционах, денежных средств, в отношении которых не осуществлено блокирование операций по счету оператором электронной площадки, в размере не менее суммы задатка на участие в аукционе, предусмотренной документацией об аукционе.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54. Прием документов прекращается не ранее чем за один рабочий день до дня проведения электронного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55. Оператор электронной площадки отказывает в приеме заявки на участие в аукционе в случае: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lastRenderedPageBreak/>
        <w:t>1) предоставления заявки на участие в аукционе, подписанной электронной цифровой подписью лица, не имеющего право действовать от имени заявителя;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2) отсутствия на счете, предназначенном для проведения операций по обеспечению участия в аукционах, заявителя, подавшего заявку на участие в аукционе, денежных сре</w:t>
      </w:r>
      <w:proofErr w:type="gramStart"/>
      <w:r>
        <w:rPr>
          <w:rFonts w:cs="Times New Roman"/>
          <w:szCs w:val="24"/>
        </w:rPr>
        <w:t>дств в р</w:t>
      </w:r>
      <w:proofErr w:type="gramEnd"/>
      <w:r>
        <w:rPr>
          <w:rFonts w:cs="Times New Roman"/>
          <w:szCs w:val="24"/>
        </w:rPr>
        <w:t>азмере суммы задатка, в отношении которых не осуществлено блокирование операций по счету оператором электронной площадки;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3) подачи одним заявителем двух и более заявок на участие в аукционе при условии, что поданные ранее заявки заявителем не отозваны. В этом случае заявителю возвращаются все поданные заявки на участие в аукционе;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4) получения заявки на участие в аукционе после дня и времени окончания срока подачи заявок.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Отказ в приеме заявки на участие в аукционе по иным основаниям, кроме </w:t>
      </w:r>
      <w:proofErr w:type="gramStart"/>
      <w:r>
        <w:rPr>
          <w:rFonts w:cs="Times New Roman"/>
          <w:szCs w:val="24"/>
        </w:rPr>
        <w:t>указанных</w:t>
      </w:r>
      <w:proofErr w:type="gramEnd"/>
      <w:r>
        <w:rPr>
          <w:rFonts w:cs="Times New Roman"/>
          <w:szCs w:val="24"/>
        </w:rPr>
        <w:t xml:space="preserve"> в настоящем пункте, не допускается.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56. Заявка на участие в электронном аукционе направляется заявителем оператору электронной площадки в форме электронного документа.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Поступление указанной заявки является поручением о блокировании операций по счету такого заявителя, открытому для проведения операций по обеспечению участия в аукционах, в отношении денежных сре</w:t>
      </w:r>
      <w:proofErr w:type="gramStart"/>
      <w:r>
        <w:rPr>
          <w:rFonts w:cs="Times New Roman"/>
          <w:szCs w:val="24"/>
        </w:rPr>
        <w:t>дств в р</w:t>
      </w:r>
      <w:proofErr w:type="gramEnd"/>
      <w:r>
        <w:rPr>
          <w:rFonts w:cs="Times New Roman"/>
          <w:szCs w:val="24"/>
        </w:rPr>
        <w:t>азмере суммы задатка на участие в аукционе.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57. Заявитель имеет право отозвать принятую оператором электронной площадки заявку до дня окончания срока приема заявок. В течение трех рабочих дней со дня регистрации отзыва заявки оператор электронной площадки прекращает блокирование операций </w:t>
      </w:r>
      <w:proofErr w:type="gramStart"/>
      <w:r>
        <w:rPr>
          <w:rFonts w:cs="Times New Roman"/>
          <w:szCs w:val="24"/>
        </w:rPr>
        <w:t>по счету для проведения операций по обеспечению участия в аукционе в отношении</w:t>
      </w:r>
      <w:proofErr w:type="gramEnd"/>
      <w:r>
        <w:rPr>
          <w:rFonts w:cs="Times New Roman"/>
          <w:szCs w:val="24"/>
        </w:rPr>
        <w:t xml:space="preserve"> денежных средств заявителя в размере суммы задатка на участие в аукционе.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В случае отзыва заявки заявителем позднее дня окончания срока приема заявок прекращение блокирования операций по счету для проведения операций по обеспечению участия в аукционе</w:t>
      </w:r>
      <w:proofErr w:type="gramEnd"/>
      <w:r>
        <w:rPr>
          <w:rFonts w:cs="Times New Roman"/>
          <w:szCs w:val="24"/>
        </w:rPr>
        <w:t xml:space="preserve"> в отношении денежных средств в размере суммы задатка на участие в аукционе осуществляется в порядке, установленном для участников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58. Заявка на участие в электронном аукционе состоит из двух частей.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Первая часть заявки на участие в электронном аукционе должна содержать согласие участника аукциона с условиями аукционной документации.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Вторая часть заявки на участие в электронном аукционе должна содержать фирменное наименование (наименование), сведения об организационно-правовой форме,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59. Подача заявителем заявки на участие в электронном аукционе является его согласием на списание денежных средств, находящихся на его счете, для проведения операций по обеспечению участия в аукционе, а также в качестве платы за участие в аукционе.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60. </w:t>
      </w:r>
      <w:proofErr w:type="gramStart"/>
      <w:r>
        <w:rPr>
          <w:rFonts w:cs="Times New Roman"/>
          <w:szCs w:val="24"/>
        </w:rPr>
        <w:t>Участник аукциона вправе подать заявку на участие в электронном аукционе в любой момент с момента размещения на официальном сайте Тендерного комитета, организатора аукциона и электронной площадке извещения о проведении аукциона до предусмотренных аукционной документацией даты и времени окончания срока подачи заявок на участие в аукционе.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61. Заявка на участие в электронном аукционе направляется заявителем оператору электронной площадки в форме двух электронных документов, содержащих предусмотренные пунктом 58 настоящего Порядка сведения. Указанные электронные документы подаются одновременно.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62. </w:t>
      </w:r>
      <w:proofErr w:type="gramStart"/>
      <w:r>
        <w:rPr>
          <w:rFonts w:cs="Times New Roman"/>
          <w:szCs w:val="24"/>
        </w:rPr>
        <w:t xml:space="preserve">В течение одного часа с момента получения заявки на участие в аукционе оператор электронной площадки обязан осуществить блокирование операций по счету для </w:t>
      </w:r>
      <w:r>
        <w:rPr>
          <w:rFonts w:cs="Times New Roman"/>
          <w:szCs w:val="24"/>
        </w:rPr>
        <w:lastRenderedPageBreak/>
        <w:t>проведения операций по обеспечению участия в открытом аукционе заявителя, подавшего такую заявку, в отношении денежных средств в размере суммы задатка на участие в аукционе, присвоить ей порядковый номер и подтвердить в форме электронного документа, направляемого заявителю, подавшему заявку</w:t>
      </w:r>
      <w:proofErr w:type="gramEnd"/>
      <w:r>
        <w:rPr>
          <w:rFonts w:cs="Times New Roman"/>
          <w:szCs w:val="24"/>
        </w:rPr>
        <w:t xml:space="preserve"> на участие в аукционе, ее получение с указанием присвоенного ей порядкового номера.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63. Регламент проведения процедуры аукционов в электронной форме определяется оператором электронной площадки.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64. </w:t>
      </w:r>
      <w:proofErr w:type="gramStart"/>
      <w:r>
        <w:rPr>
          <w:rFonts w:cs="Times New Roman"/>
          <w:szCs w:val="24"/>
        </w:rPr>
        <w:t>Результаты электронного аукциона оформляются оператором электронной площадки протоколом, который должен содержать адрес электронной площадки, дату, время начала и окончания аукциона, начальную цену аукциона, предложения о цене аукциона победителя аукциона и участника аукциона, сделавшего предпоследнее предложение о цене аукциона, с указанием времени поступления данных предложений, а также наименование организаций (для юридических лиц), фамилии, имена, отчества (для физических лиц) и почтовые адреса</w:t>
      </w:r>
      <w:proofErr w:type="gramEnd"/>
      <w:r>
        <w:rPr>
          <w:rFonts w:cs="Times New Roman"/>
          <w:szCs w:val="24"/>
        </w:rPr>
        <w:t xml:space="preserve"> таких участников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Протокол о результатах электронного аукциона подлежит хранению организатором аукциона не менее трех лет.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65. Договор на размещение нестационарного торгового объекта по результатам проведения электронного аукциона заключается с соблюдением требований, предусмотренных пунктами 30-34 настоящего Порядка.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день поступления заявления участника аукциона о подготовке и выдаче договора на размещение нестационарного торгового объекта организатор аукциона письменно уведомляет оператора электронной площадки о необходимости перечисления задатка такого участника аукциона на счет организатора аукциона.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Организатор аукциона в сроки, указанные в пункте 30 настоящего Порядка, письменно уведомляет оператора электронной площадки о необходимости возврата задатков участникам аукциона, участвовавшим в аукционе, но не победившим в нем и не признанным уклонившимися от заключения договора.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В случае если участник электронного аукциона признан уклонившимся от заключения договора, организатор аукциона направляет письменное уведомление оператору электронной площадки о необходимости перечисления внесенного таким участником задатка в доход бюджета города Москвы на его лицевой счет, открытый в Управлении Федерального казначейства по городу Москве.".</w:t>
      </w:r>
      <w:proofErr w:type="gramEnd"/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proofErr w:type="gramStart"/>
      <w:r>
        <w:rPr>
          <w:rFonts w:cs="Times New Roman"/>
          <w:szCs w:val="24"/>
        </w:rPr>
        <w:t xml:space="preserve">Внести изменение в постановление Правительства Москвы от 28 июня 2011 г. N 279-ПП "Об утверждении административного регламента подготовки и выдачи префектурами административных округов города Москвы договора на размещение нестационарного торгового объекта и свидетельства о размещении нестационарного торгового объекта по принципу "одного окна", дополнив </w:t>
      </w:r>
      <w:hyperlink r:id="rId24" w:history="1">
        <w:r>
          <w:rPr>
            <w:rFonts w:cs="Times New Roman"/>
            <w:color w:val="0000FF"/>
            <w:szCs w:val="24"/>
          </w:rPr>
          <w:t>пункт 2.16</w:t>
        </w:r>
      </w:hyperlink>
      <w:r>
        <w:rPr>
          <w:rFonts w:cs="Times New Roman"/>
          <w:szCs w:val="24"/>
        </w:rPr>
        <w:t xml:space="preserve"> приложения 1 к постановлению после слов "о размещении нестационарного торгового объекта" словами "и (или) непоступление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на счет префектуры административного округа города Москвы денежных средств от заявителя в размере разницы между суммой задатка на участие в аукционе и частью итоговой цены аукциона на право размещения нестационарного торгового объекта (либо цены итогового предложения участника аукциона), указанной в пунктах 31.1-31.3 приложения 2 к постановлению Правительства Москвы от 3 февраля 2011 г. N 26-ПП "О размещении нестационарных торговых</w:t>
      </w:r>
      <w:proofErr w:type="gramEnd"/>
      <w:r>
        <w:rPr>
          <w:rFonts w:cs="Times New Roman"/>
          <w:szCs w:val="24"/>
        </w:rPr>
        <w:t xml:space="preserve"> объектов, расположенных в городе Москве на земельных участках, в зданиях, строениях и сооружениях, находящихся в государственной собственности".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 Аукционы на право заключения договоров на размещение нестационарных торговых объектов проводятся в электронной форме со дня вступления в силу настоящего постановления.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заместителя Мэра Москвы в Правительстве Москвы по вопросам экономической политики Шаронова А.В.</w:t>
      </w:r>
    </w:p>
    <w:p w:rsidR="00CD553D" w:rsidRDefault="00CD553D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</w:p>
    <w:p w:rsidR="00CD553D" w:rsidRDefault="00CD553D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CD553D" w:rsidRDefault="00CD553D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С.С. Собянин</w:t>
      </w:r>
    </w:p>
    <w:p w:rsidR="00CD553D" w:rsidRDefault="00CD553D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:rsidR="00CD553D" w:rsidRDefault="00CD553D">
      <w:pPr>
        <w:widowControl w:val="0"/>
        <w:autoSpaceDE w:val="0"/>
        <w:autoSpaceDN w:val="0"/>
        <w:adjustRightInd w:val="0"/>
        <w:rPr>
          <w:rFonts w:cs="Times New Roman"/>
          <w:szCs w:val="24"/>
        </w:rPr>
      </w:pPr>
    </w:p>
    <w:p w:rsidR="00CD553D" w:rsidRDefault="00CD553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CF6ACA" w:rsidRDefault="00CF6ACA">
      <w:bookmarkStart w:id="0" w:name="_GoBack"/>
      <w:bookmarkEnd w:id="0"/>
    </w:p>
    <w:sectPr w:rsidR="00CF6ACA" w:rsidSect="00650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53D"/>
    <w:rsid w:val="00CD553D"/>
    <w:rsid w:val="00C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0F46FED3CDCC66F28ACBAE94F9682855B38305CA608527ED4286D4715FD5C0FAAD1B2F85494919Cv9g2K" TargetMode="External"/><Relationship Id="rId13" Type="http://schemas.openxmlformats.org/officeDocument/2006/relationships/hyperlink" Target="consultantplus://offline/ref=C1E0F46FED3CDCC66F28ACBAE94F9682855B38305CA608527ED4286D4715FD5C0FAAD1B2F85494909Ev9g4K" TargetMode="External"/><Relationship Id="rId18" Type="http://schemas.openxmlformats.org/officeDocument/2006/relationships/hyperlink" Target="consultantplus://offline/ref=C1E0F46FED3CDCC66F28ACBAE94F9682855B38305CA608527ED4286D4715FD5C0FAAD1B2F85494909Av9g8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1E0F46FED3CDCC66F28ACBAE94F9682855B38305CA608527ED4286D4715FD5C0FAAD1B2F854949099v9g5K" TargetMode="External"/><Relationship Id="rId7" Type="http://schemas.openxmlformats.org/officeDocument/2006/relationships/hyperlink" Target="consultantplus://offline/ref=C1E0F46FED3CDCC66F28ACBAE94F9682855B38305CA608527ED4286D4715FD5C0FAAD1B2F85494919Cv9g3K" TargetMode="External"/><Relationship Id="rId12" Type="http://schemas.openxmlformats.org/officeDocument/2006/relationships/hyperlink" Target="consultantplus://offline/ref=C1E0F46FED3CDCC66F28ACBAE94F9682855B38305CA608527ED4286D4715FD5C0FAAD1B2F85494909Fv9g0K" TargetMode="External"/><Relationship Id="rId17" Type="http://schemas.openxmlformats.org/officeDocument/2006/relationships/hyperlink" Target="consultantplus://offline/ref=C1E0F46FED3CDCC66F28ACBAE94F9682855B38305CA608527ED4286D4715FD5C0FAAD1B2F85494909Av9g0K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1E0F46FED3CDCC66F28ACBAE94F9682855B38305CA608527ED4286D4715FD5C0FAAD1B2F85494909Cv9g8K" TargetMode="External"/><Relationship Id="rId20" Type="http://schemas.openxmlformats.org/officeDocument/2006/relationships/hyperlink" Target="consultantplus://offline/ref=C1E0F46FED3CDCC66F28ACBAE94F9682855B38305CA608527ED4286D4715FD5C0FAAD1B2F854949099v9g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0F46FED3CDCC66F28ACBAE94F9682855B38305CA608527ED4286D4715FD5C0FAAD1B2F854949399v9g9K" TargetMode="External"/><Relationship Id="rId11" Type="http://schemas.openxmlformats.org/officeDocument/2006/relationships/hyperlink" Target="consultantplus://offline/ref=C1E0F46FED3CDCC66F28ACBAE94F9682855B38305CA608527ED4286D4715FD5C0FAAD1B2F854949196v9g6K" TargetMode="External"/><Relationship Id="rId24" Type="http://schemas.openxmlformats.org/officeDocument/2006/relationships/hyperlink" Target="consultantplus://offline/ref=C1E0F46FED3CDCC66F28ACBAE94F9682855B393558A309527ED4286D4715FD5C0FAAD1B2F85494919Av9g3K" TargetMode="External"/><Relationship Id="rId5" Type="http://schemas.openxmlformats.org/officeDocument/2006/relationships/hyperlink" Target="consultantplus://offline/ref=C1E0F46FED3CDCC66F28ACBAE94F9682855B38305CA608527ED4286D4715vFgDK" TargetMode="External"/><Relationship Id="rId15" Type="http://schemas.openxmlformats.org/officeDocument/2006/relationships/hyperlink" Target="consultantplus://offline/ref=C1E0F46FED3CDCC66F28ACBAE94F9682855B38305CA608527ED4286D4715FD5C0FAAD1B2F85494909Av9g9K" TargetMode="External"/><Relationship Id="rId23" Type="http://schemas.openxmlformats.org/officeDocument/2006/relationships/hyperlink" Target="consultantplus://offline/ref=C1E0F46FED3CDCC66F28ACBAE94F9682855B38305CA608527ED4286D4715FD5C0FAAD1B2F854949196v9g3K" TargetMode="External"/><Relationship Id="rId10" Type="http://schemas.openxmlformats.org/officeDocument/2006/relationships/hyperlink" Target="consultantplus://offline/ref=C1E0F46FED3CDCC66F28ACBAE94F9682855B38305CA608527ED4286D4715FD5C0FAAD1B2F85494919Bv9g3K" TargetMode="External"/><Relationship Id="rId19" Type="http://schemas.openxmlformats.org/officeDocument/2006/relationships/hyperlink" Target="consultantplus://offline/ref=C1E0F46FED3CDCC66F28ACBAE94F9682855B38305CA608527ED4286D4715FD5C0FAAD1B2F854949196v9g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E0F46FED3CDCC66F28ACBAE94F9682855B38305CA608527ED4286D4715FD5C0FAAD1B2F85494919Cv9g9K" TargetMode="External"/><Relationship Id="rId14" Type="http://schemas.openxmlformats.org/officeDocument/2006/relationships/hyperlink" Target="consultantplus://offline/ref=C1E0F46FED3CDCC66F28ACBAE94F9682855B38305CA608527ED4286D4715FD5C0FAAD1B2F85494909Dv9g2K" TargetMode="External"/><Relationship Id="rId22" Type="http://schemas.openxmlformats.org/officeDocument/2006/relationships/hyperlink" Target="consultantplus://offline/ref=C1E0F46FED3CDCC66F28ACBAE94F9682855B38305CA608527ED4286D4715FD5C0FAAD1B2F854949398v9g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4020</Words>
  <Characters>22916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2014-04-18T10:32:00Z</dcterms:created>
  <dcterms:modified xsi:type="dcterms:W3CDTF">2014-04-18T10:33:00Z</dcterms:modified>
</cp:coreProperties>
</file>